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6"/>
          <w:szCs w:val="26"/>
        </w:rPr>
      </w:pPr>
      <w:r w:rsidDel="00000000" w:rsidR="00000000" w:rsidRPr="00000000">
        <w:rPr>
          <w:b w:val="1"/>
          <w:sz w:val="26"/>
          <w:szCs w:val="26"/>
          <w:rtl w:val="0"/>
        </w:rPr>
        <w:t xml:space="preserve">La juste compréhension des prophéties selon les musulmans ahmadis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Bien que la Communauté Musulmane Ahmadiyya ne rejette nullement les prophéties concernant la descente du Messie et l'apparition de l’Imam Mahdi, elle souligne qu’en donner une interprétation littérale relève d’une profonde </w:t>
      </w:r>
      <w:r w:rsidDel="00000000" w:rsidR="00000000" w:rsidRPr="00000000">
        <w:rPr>
          <w:rtl w:val="0"/>
        </w:rPr>
        <w:t xml:space="preserve">naïveté</w:t>
      </w:r>
      <w:r w:rsidDel="00000000" w:rsidR="00000000" w:rsidRPr="00000000">
        <w:rPr>
          <w:rtl w:val="0"/>
        </w:rPr>
        <w:t xml:space="preserve"> et d’une incompréhension. C'est parce que l'on ne saisit pas pleinement la position exaltée du </w:t>
      </w:r>
      <w:r w:rsidDel="00000000" w:rsidR="00000000" w:rsidRPr="00000000">
        <w:rPr>
          <w:rtl w:val="0"/>
        </w:rPr>
        <w:t xml:space="preserve">Saint Prophète (p.s.s.l.) </w:t>
      </w:r>
      <w:r w:rsidDel="00000000" w:rsidR="00000000" w:rsidRPr="00000000">
        <w:rPr>
          <w:rtl w:val="0"/>
        </w:rPr>
        <w:t xml:space="preserve">que l'on commet une erreur aussi grave dans la compréhension de son message profond et philosophique. Les esprits avisés et sages utilisent souvent des paraboles et des allégories pour exposer des sujets d'une grande importance, mais un œil superficiel ne peut en percevoir le sens.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Les musulmans ahmadis considèrent que l'ensemble des sujets concernant le Messie, l'Antéchrist et son âne sont entièrement symboliques. Le Messie, par conséquent, n'est pas le même prophète antérieur qui a été envoyé parmi les Israélites. Les Ahmadis croient que Jésus-Christ est mort d'une mort naturelle après avoir survécu au supplice de la Croix. Le Messie annoncé dans les prophéties devait en réalité être une nouvelle personne qui devait naître parmi les disciples du Saint Prophète Muhammad (p.s.s.l.). En raison de certaines caractéristiques et qualités, partagées avec Jésus, il serait désigné sous le titre de « Messie, fils de Marie », tout comme un grand dramaturge peut être surnommé Shakespeare. La référence à la Croix est également métaphorique. Le Messie ne détruira pas littéralement les croix : il vaincra la foi chrétienne par un raisonnement solide et des arguments puissants.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destruction de la Croix représente donc la défaite idéologique du christianisme. De même, le terme « Porc » ne doit pas être pris au sens littéral. Il évoque la décadence culturelle du monde occidental qui transforme les hommes en êtres bestiaux. Ce terme symbolise l’anarchie sexuelle qui sévit en Amérique et en Europe. Il incarne une débauche répugnante qui entraîne même des enfants innocents parmi ses victimes. Les traditions n'ont jamais suggéré que le Messie </w:t>
      </w:r>
      <w:r w:rsidDel="00000000" w:rsidR="00000000" w:rsidRPr="00000000">
        <w:rPr>
          <w:rtl w:val="0"/>
        </w:rPr>
        <w:t xml:space="preserve">pourchasserait</w:t>
      </w:r>
      <w:r w:rsidDel="00000000" w:rsidR="00000000" w:rsidRPr="00000000">
        <w:rPr>
          <w:rtl w:val="0"/>
        </w:rPr>
        <w:t xml:space="preserve"> des troupeaux de sangliers ou de porcs domestiques. Une telle représentation d’un prophète de Dieu serait des plus étranges et rappellerait plutôt Ajax, héros de la mythologie grecque, qui, dans la conviction délirante qu’il affrontait les chefs de l’armée grecque, massacra des troupeaux de bovins et de moutons.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L'Antéchrist, tout comme le Messie, la Croix et le Porc, est également symbolique. Il représente une grande et puissante nation qui domine non seulement la terre mais aussi l'espace. La Croix et le Porc sont en réalité des symboles associés à cette nation. Les traditions rapportent que l'œil droit de l'Antéchrist sera aveugle, tandis que son œil gauche sera grand et brillant. Cette description symbolique illustre le fait que, bien que cette nation soit dépourvue de lumière spirituelle, sa clairvoyance matérielle et, par conséquent, ses réalisations matérielles seront immenses.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Enfin, les musulmans ahmadis considèrent également l'âne de l'Antéchrist comme un symbole - un symbole utilisé pour décrire les moyens de transport des temps futurs. Toutes les caractéristiques décrivant cet âne sont sans exception identifiables aux véhicules à carburant inventés par l'Occident. Considérons les caractéristiques principales de cet âne, telles que décrites dans les traditions : il </w:t>
      </w:r>
      <w:r w:rsidDel="00000000" w:rsidR="00000000" w:rsidRPr="00000000">
        <w:rPr>
          <w:rtl w:val="0"/>
        </w:rPr>
        <w:t xml:space="preserve">consommera</w:t>
      </w:r>
      <w:r w:rsidDel="00000000" w:rsidR="00000000" w:rsidRPr="00000000">
        <w:rPr>
          <w:rtl w:val="0"/>
        </w:rPr>
        <w:t xml:space="preserve"> du feu, il voyagera sur terre, sur mer et dans les airs ; sa vitesse sera si grande qu'il parcourra un voyage de plusieurs mois en l'espace de quelques heures ; les passagers voyageront non pas sur son dos mais dans son ventre, qui sera éclairé ; il annoncera son départ et invitera les passagers à prendre place. La réalisation de ces événements avec une exactitude aussi merveilleuse est un témoignage glorieux de la véracité du Saint Prophète Muhammad, que la paix soit sur lui.</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Selon les musulmans ahmadis, les prophéties relatives à l'avènement de l'Imam Mahdi sont également symboliques. La richesse qu'il distribuera aux musulmans est la richesse de la connaissance spirituelle et de la sagesse, et non des biens matériels. Le refus de certains de l'accepter indique d'ailleurs de quel type de richesse il s'agit, car l'homme n'est jamais rassasié de richesses matérielles : ce ne sont que les trésors spirituels qu'il dédaigne.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Ainsi, l’Ahmadiyya rejette la philosophie de la renaissance de l’Islam telle qu’expliquée ci-dessus et propagée par les autres courants de l’islam. Elle considère que cette philosophie est en contradiction avec le sens réel des enseignements du Coran, en désaccord avec l’histoire des prophètes et, plus encore, en opposition </w:t>
      </w:r>
      <w:r w:rsidDel="00000000" w:rsidR="00000000" w:rsidRPr="00000000">
        <w:rPr>
          <w:rtl w:val="0"/>
        </w:rPr>
        <w:t xml:space="preserve">avec les actions concrètes du Saint Prophète Muhammad, que la paix soit sur lui. L’Ahmadiyya rejette cet opium idéologique qui plonge les nations dans l’inaction et les enferme dans un monde d’illusions et de fantaisie.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hd w:fill="ffffff" w:val="clear"/>
        <w:jc w:val="both"/>
        <w:rPr>
          <w:color w:val="050505"/>
        </w:rPr>
      </w:pPr>
      <w:r w:rsidDel="00000000" w:rsidR="00000000" w:rsidRPr="00000000">
        <w:rPr>
          <w:color w:val="050505"/>
          <w:rtl w:val="0"/>
        </w:rPr>
        <w:t xml:space="preserve">Extrait du livre </w:t>
      </w:r>
      <w:r w:rsidDel="00000000" w:rsidR="00000000" w:rsidRPr="00000000">
        <w:rPr>
          <w:i w:val="1"/>
          <w:color w:val="050505"/>
          <w:rtl w:val="0"/>
        </w:rPr>
        <w:t xml:space="preserve">Revival of Religion</w:t>
      </w:r>
      <w:r w:rsidDel="00000000" w:rsidR="00000000" w:rsidRPr="00000000">
        <w:rPr>
          <w:color w:val="050505"/>
          <w:rtl w:val="0"/>
        </w:rPr>
        <w:t xml:space="preserve"> (« Renaissance de la religion ») de Hazrat Mirza Tahir Ahmad, Khalifatul Masih IV (rh)</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